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0" w:rsidRPr="003854F2" w:rsidRDefault="003854F2" w:rsidP="003854F2">
      <w:pPr>
        <w:jc w:val="center"/>
        <w:rPr>
          <w:sz w:val="32"/>
          <w:szCs w:val="32"/>
        </w:rPr>
      </w:pPr>
      <w:r w:rsidRPr="003854F2">
        <w:rPr>
          <w:sz w:val="32"/>
          <w:szCs w:val="32"/>
        </w:rPr>
        <w:t>Prof. Gabriel Kaufmann Research</w:t>
      </w:r>
    </w:p>
    <w:tbl>
      <w:tblPr>
        <w:tblW w:w="4825" w:type="pct"/>
        <w:jc w:val="center"/>
        <w:tblCellSpacing w:w="15" w:type="dxa"/>
        <w:shd w:val="clear" w:color="auto" w:fill="DBEE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3854F2" w:rsidRPr="003854F2" w:rsidTr="003854F2">
        <w:trPr>
          <w:trHeight w:val="658"/>
          <w:tblCellSpacing w:w="15" w:type="dxa"/>
          <w:jc w:val="center"/>
        </w:trPr>
        <w:tc>
          <w:tcPr>
            <w:tcW w:w="12532" w:type="dxa"/>
            <w:shd w:val="clear" w:color="auto" w:fill="DBEEF8"/>
            <w:vAlign w:val="center"/>
            <w:hideMark/>
          </w:tcPr>
          <w:p w:rsidR="003854F2" w:rsidRPr="003854F2" w:rsidRDefault="003854F2" w:rsidP="003854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54F2">
              <w:rPr>
                <w:rFonts w:ascii="Arial" w:eastAsia="Times New Roman" w:hAnsi="Arial" w:cs="Arial"/>
                <w:sz w:val="28"/>
                <w:szCs w:val="28"/>
              </w:rPr>
              <w:t>Research Interests</w:t>
            </w:r>
          </w:p>
        </w:tc>
      </w:tr>
      <w:tr w:rsidR="003854F2" w:rsidRPr="003854F2" w:rsidTr="003854F2">
        <w:trPr>
          <w:trHeight w:val="7505"/>
          <w:tblCellSpacing w:w="15" w:type="dxa"/>
          <w:jc w:val="center"/>
        </w:trPr>
        <w:tc>
          <w:tcPr>
            <w:tcW w:w="12532" w:type="dxa"/>
            <w:shd w:val="clear" w:color="auto" w:fill="FFFFFF"/>
            <w:vAlign w:val="center"/>
            <w:hideMark/>
          </w:tcPr>
          <w:p w:rsidR="003854F2" w:rsidRPr="003854F2" w:rsidRDefault="003854F2" w:rsidP="00385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4"/>
            <w:bookmarkStart w:id="1" w:name="OLE_LINK5"/>
            <w:bookmarkEnd w:id="1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Suicidal, phage-</w:t>
            </w:r>
            <w:bookmarkStart w:id="2" w:name="_GoBack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excluding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tRNases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PrrC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RloC</w:t>
            </w:r>
            <w:bookmarkEnd w:id="0"/>
            <w:bookmarkEnd w:id="2"/>
            <w:proofErr w:type="spellEnd"/>
          </w:p>
          <w:p w:rsidR="003854F2" w:rsidRPr="003854F2" w:rsidRDefault="003854F2" w:rsidP="003854F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Loss of a single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tRNA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 species suffices to block translation, arrest growth and eventually cause cell death (</w:t>
            </w:r>
            <w:r w:rsidRPr="00385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).  Microbial organisms accomplish this feat using nucleases that target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tRNA's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 Achilles heel.  These anticodon nucleases (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ACNases</w:t>
            </w:r>
            <w:proofErr w:type="spellEnd"/>
            <w:proofErr w:type="gram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begin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instrText xml:space="preserve"> HYPERLINK "http://www.sciencedirect.com/science?_ob=MImg&amp;_imagekey=B6TCV-3YK54G6-B-9&amp;_cdi=5180&amp;_user=3644534&amp;_pii=S096800049901525X&amp;_origin=search&amp;_coverDate=02%2F01%2F2000&amp;_sk=999749997&amp;view=c&amp;wchp=dGLzVzb-zSkzV&amp;md5=f8aeaec34cbd80bdeb96fedbb43a68cf&amp;ie=/sdarticle.pdf" </w:instrText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separate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  <w:u w:val="single"/>
              </w:rPr>
              <w:t>exclude phage</w:t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end"/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  <w:hyperlink r:id="rId5" w:history="1">
              <w:r w:rsidRPr="003854F2">
                <w:rPr>
                  <w:rFonts w:ascii="Arial" w:eastAsia="Times New Roman" w:hAnsi="Arial" w:cs="Arial"/>
                  <w:b/>
                  <w:bCs/>
                  <w:color w:val="580011"/>
                  <w:sz w:val="24"/>
                  <w:szCs w:val="24"/>
                  <w:u w:val="single"/>
                </w:rPr>
                <w:t>kill competing cells</w:t>
              </w:r>
            </w:hyperlink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and may provide other, yet unknown advantages.</w:t>
            </w:r>
          </w:p>
          <w:p w:rsidR="003854F2" w:rsidRPr="003854F2" w:rsidRDefault="003854F2" w:rsidP="003854F2">
            <w:pPr>
              <w:spacing w:before="100" w:beforeAutospacing="1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We focus on the suicidal, phage-excluding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ACNase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"http://nar.oxfordjournals.org/cgi/content/full/34/11/3209" </w:instrText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  <w:u w:val="single"/>
              </w:rPr>
              <w:t>PrrC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r w:rsidRPr="00385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1, 2</w:t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) and its less familiar paralog </w:t>
            </w:r>
            <w:proofErr w:type="spellStart"/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begin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instrText xml:space="preserve"> HYPERLINK "http://www.ncbi.nlm.nih.gov/pmc/articles/PMC2610378/pdf/mmi0069-1560.pdf" </w:instrText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separate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  <w:u w:val="single"/>
              </w:rPr>
              <w:t>RloC</w:t>
            </w:r>
            <w:proofErr w:type="spellEnd"/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end"/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(</w:t>
            </w:r>
            <w:r w:rsidRPr="00385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</w:t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). 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PrrC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 is silenced in uninfected </w:t>
            </w:r>
            <w:r w:rsidRPr="003854F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E. coli </w:t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by the associated </w:t>
            </w:r>
            <w:hyperlink r:id="rId6" w:history="1">
              <w:r w:rsidRPr="003854F2">
                <w:rPr>
                  <w:rFonts w:ascii="Arial" w:eastAsia="Times New Roman" w:hAnsi="Arial" w:cs="Arial"/>
                  <w:b/>
                  <w:bCs/>
                  <w:color w:val="580011"/>
                  <w:sz w:val="24"/>
                  <w:szCs w:val="24"/>
                  <w:u w:val="single"/>
                </w:rPr>
                <w:t>type I DNA restriction nuclease</w:t>
              </w:r>
            </w:hyperlink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EcoprrI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 and unleashed during phage T4 infection by the T4-encoded anti-DNA restriction factor </w:t>
            </w:r>
            <w:proofErr w:type="spellStart"/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begin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instrText xml:space="preserve"> HYPERLINK "http://www.sciencedirect.com/science?_ob=MImg&amp;_imagekey=B6WK7-45S97G7-92-1&amp;_cdi=6899&amp;_user=3644534&amp;_pii=S0022283685703439&amp;_origin=search&amp;_coverDate=06%2F23%2F1995&amp;_sk=997509994&amp;view=c&amp;wchp=dGLzVzb-zSkzV&amp;md5=6ac424fb10469790f4df4a540c3a5b6e&amp;ie=/sdarticle.pdf" </w:instrText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separate"/>
            </w:r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  <w:u w:val="single"/>
              </w:rPr>
              <w:t>Stp</w:t>
            </w:r>
            <w:proofErr w:type="spellEnd"/>
            <w:r w:rsidRPr="003854F2">
              <w:rPr>
                <w:rFonts w:ascii="Arial" w:eastAsia="Times New Roman" w:hAnsi="Arial" w:cs="Arial"/>
                <w:b/>
                <w:bCs/>
                <w:color w:val="580011"/>
                <w:sz w:val="24"/>
                <w:szCs w:val="24"/>
              </w:rPr>
              <w:fldChar w:fldCharType="end"/>
            </w:r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(Fig. 1).</w:t>
            </w:r>
          </w:p>
          <w:p w:rsidR="003854F2" w:rsidRPr="003854F2" w:rsidRDefault="003854F2" w:rsidP="003854F2">
            <w:pPr>
              <w:spacing w:before="100" w:beforeAutospacing="1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The resulting incision of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tRNA</w:t>
            </w:r>
            <w:r w:rsidRPr="003854F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Lys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 could block phage protein synthesis and contain the infection but </w:t>
            </w:r>
            <w:hyperlink r:id="rId7" w:history="1">
              <w:r w:rsidRPr="003854F2">
                <w:rPr>
                  <w:rFonts w:ascii="Arial" w:eastAsia="Times New Roman" w:hAnsi="Arial" w:cs="Arial"/>
                  <w:b/>
                  <w:bCs/>
                  <w:color w:val="580011"/>
                  <w:sz w:val="24"/>
                  <w:szCs w:val="24"/>
                  <w:u w:val="single"/>
                </w:rPr>
                <w:t xml:space="preserve">T4 </w:t>
              </w:r>
              <w:proofErr w:type="spellStart"/>
              <w:r w:rsidRPr="003854F2">
                <w:rPr>
                  <w:rFonts w:ascii="Arial" w:eastAsia="Times New Roman" w:hAnsi="Arial" w:cs="Arial"/>
                  <w:b/>
                  <w:bCs/>
                  <w:color w:val="580011"/>
                  <w:sz w:val="24"/>
                  <w:szCs w:val="24"/>
                  <w:u w:val="single"/>
                </w:rPr>
                <w:t>tRNA</w:t>
              </w:r>
              <w:proofErr w:type="spellEnd"/>
              <w:r w:rsidRPr="003854F2">
                <w:rPr>
                  <w:rFonts w:ascii="Arial" w:eastAsia="Times New Roman" w:hAnsi="Arial" w:cs="Arial"/>
                  <w:b/>
                  <w:bCs/>
                  <w:color w:val="580011"/>
                  <w:sz w:val="24"/>
                  <w:szCs w:val="24"/>
                  <w:u w:val="single"/>
                </w:rPr>
                <w:t xml:space="preserve"> repair enzymes</w:t>
              </w:r>
            </w:hyperlink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 counteract the damage.  Currently we study how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EcoprrI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Stp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 and two different nucleotides recognized by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PrrC's</w:t>
            </w:r>
            <w:proofErr w:type="spellEnd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 xml:space="preserve"> ABC ATPase-like N-domain regulate the </w:t>
            </w:r>
            <w:proofErr w:type="spellStart"/>
            <w:r w:rsidRPr="003854F2">
              <w:rPr>
                <w:rFonts w:ascii="Arial" w:eastAsia="Times New Roman" w:hAnsi="Arial" w:cs="Arial"/>
                <w:sz w:val="24"/>
                <w:szCs w:val="24"/>
              </w:rPr>
              <w:t>ACNase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4F2" w:rsidRPr="003854F2" w:rsidRDefault="003854F2" w:rsidP="003854F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717E6E77" wp14:editId="1A60CC69">
                  <wp:extent cx="7042245" cy="5542895"/>
                  <wp:effectExtent l="0" t="0" r="6350" b="1270"/>
                  <wp:docPr id="3" name="Picture 3" descr="http://www.tau.ac.il/lifesci/departments/biochem/members/kaufmann/Images/f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u.ac.il/lifesci/departments/biochem/members/kaufmann/Images/f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048" cy="554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F2" w:rsidRPr="003854F2" w:rsidRDefault="003854F2" w:rsidP="003854F2">
            <w:pPr>
              <w:spacing w:before="100" w:beforeAutospacing="1" w:after="100" w:afterAutospacing="1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Fig. 1. The anticodon nuclease </w:t>
            </w:r>
            <w:proofErr w:type="spellStart"/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PrrC</w:t>
            </w:r>
            <w:proofErr w:type="spellEnd"/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silencing, activation and phage rebuttal.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PrrC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(green oval) is kept inactive before infection by the associated type I DNA restriction-modification enzyme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EcoprrI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(red ensemble).  During phage T4 infection the phage-encoded peptide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Stp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, an intended inhibitor of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EcoprrI's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DNA restriction activates the latent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PrrC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tRNase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.  The resultant incision of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tRNA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Lys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 is counteracted by T4-encoded 3'-phosphatase/5'-polynucleotide kinase (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Pnk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) and RNA ligase 1 (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Rli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:rsidR="003854F2" w:rsidRPr="003854F2" w:rsidRDefault="003854F2" w:rsidP="003854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RloC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seems to be a more sophisticated version of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PrrC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judged from two of its distinct properties.  First,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RloC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excises its substrate's wobble nucleotide, a lesion likely to impede phage reversal and render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RloC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more potent antiviral device than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PrrC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(3). </w:t>
            </w:r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Second,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RloC's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complex regulatory domain (Fig. 2) resembles Rad50 and related DNA repair proteins endowed with DNA bridging activity (3, 6). 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RloC's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DNA bridging activity (Fig. 3) impacts its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ACNase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 in a significant way (3). These facts, taken with the transient inactivation of type I DNA restriction enzymes following DNA damage (7), underlie a model where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RloC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wards off phage escaping DNA restriction during recovery from DNA damage (3). This model is currently tested. </w:t>
            </w:r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above examples of RNA repair and, possibly, repair avoidance could be considered isolated cases where lack of a suitable DNA template precludes replenishment of the damaged RNA by transcription. Nonetheless, various types of cellular RNA repair have popped up recently: RNA polymerases proofread their transcripts (8), an RNA </w:t>
            </w:r>
            <w:proofErr w:type="spellStart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>methylase</w:t>
            </w:r>
            <w:proofErr w:type="spellEnd"/>
            <w:r w:rsidRPr="003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removes toxic methyl groups (9) and a cellular repair-modification complex prevents re-cleavage of the RNA it mends (10). These findings hint that RNA repair figures in cell biology more than previously appreciated.     </w:t>
            </w:r>
          </w:p>
          <w:p w:rsidR="003854F2" w:rsidRPr="003854F2" w:rsidRDefault="003854F2" w:rsidP="003854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854F2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3854F2" w:rsidRPr="003854F2" w:rsidRDefault="003854F2" w:rsidP="003854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0E8E9151" wp14:editId="0E699A9C">
                  <wp:extent cx="7328535" cy="4899660"/>
                  <wp:effectExtent l="0" t="0" r="5715" b="0"/>
                  <wp:docPr id="2" name="Picture 2" descr="fi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535" cy="489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4F2" w:rsidRPr="003854F2" w:rsidRDefault="003854F2" w:rsidP="003854F2">
            <w:pPr>
              <w:spacing w:before="100" w:beforeAutospacing="1" w:after="100" w:afterAutospacing="1" w:line="240" w:lineRule="auto"/>
              <w:ind w:lef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Fig. 2.  A.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 Domain alignment of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PrrC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RloC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(3-5). ATPase and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ACNase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domains are respective pink or green rectangles;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RloC's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predicted coiled coil (CC) grey, the interrupting gap in pink and the zinc-hook motif in yellow. Dashed lines connect shared motifs. B. Cartoon of </w:t>
            </w:r>
            <w:proofErr w:type="spellStart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>RloC's</w:t>
            </w:r>
            <w:proofErr w:type="spellEnd"/>
            <w:r w:rsidRPr="003854F2">
              <w:rPr>
                <w:rFonts w:ascii="Arial" w:eastAsia="Times New Roman" w:hAnsi="Arial" w:cs="Arial"/>
                <w:sz w:val="20"/>
                <w:szCs w:val="20"/>
              </w:rPr>
              <w:t xml:space="preserve"> expected mode of DNA bridging [adapted from Rad50's (6)]. The CC/ZH protrusions bridge DNA molecules tethered to 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ATPase head domains (pink ovals) by coordinating zinc ions at the ZH dimerization interfaces (yellow circles)</w:t>
            </w:r>
          </w:p>
          <w:tbl>
            <w:tblPr>
              <w:tblW w:w="499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7025"/>
            </w:tblGrid>
            <w:tr w:rsidR="003854F2" w:rsidRPr="003854F2" w:rsidTr="003854F2">
              <w:trPr>
                <w:trHeight w:val="2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F2" w:rsidRPr="003854F2" w:rsidRDefault="003854F2" w:rsidP="00385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45CFF68" wp14:editId="7EBEFD1D">
                        <wp:extent cx="3425825" cy="1746885"/>
                        <wp:effectExtent l="0" t="0" r="3175" b="5715"/>
                        <wp:docPr id="1" name="Picture 1" descr="http://www.tau.ac.il/lifesci/departments/biochem/members/kaufmann/Images/fi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au.ac.il/lifesci/departments/biochem/members/kaufmann/Images/fi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5825" cy="1746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F2" w:rsidRPr="003854F2" w:rsidRDefault="003854F2" w:rsidP="003854F2">
                  <w:pPr>
                    <w:spacing w:before="100" w:beforeAutospacing="1" w:after="100" w:afterAutospacing="1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854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Fig. 3. </w:t>
                  </w:r>
                  <w:hyperlink r:id="rId11" w:history="1">
                    <w:r w:rsidRPr="003854F2">
                      <w:rPr>
                        <w:rFonts w:ascii="Arial" w:eastAsia="Times New Roman" w:hAnsi="Arial" w:cs="Arial"/>
                        <w:b/>
                        <w:bCs/>
                        <w:color w:val="580011"/>
                        <w:sz w:val="20"/>
                        <w:szCs w:val="20"/>
                        <w:u w:val="single"/>
                      </w:rPr>
                      <w:t>AFM imaging</w:t>
                    </w:r>
                  </w:hyperlink>
                  <w:r w:rsidRPr="003854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 of </w:t>
                  </w:r>
                  <w:proofErr w:type="spellStart"/>
                  <w:r w:rsidRPr="003854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RloC</w:t>
                  </w:r>
                  <w:proofErr w:type="spellEnd"/>
                  <w:r w:rsidRPr="003854F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DNA bridging activity.</w:t>
                  </w:r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AFM image of plasmid pUC19 (A) and its complex with RloC-E696A (B).  The molecules were deposited on mica and visualized by AFM.  </w:t>
                  </w:r>
                  <w:proofErr w:type="spellStart"/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>RloC</w:t>
                  </w:r>
                  <w:proofErr w:type="spellEnd"/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seen as bright spots that bridge distant regions of the DNA (in collaboration with D. </w:t>
                  </w:r>
                  <w:proofErr w:type="spellStart"/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>Zikich</w:t>
                  </w:r>
                  <w:proofErr w:type="spellEnd"/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A. </w:t>
                  </w:r>
                  <w:proofErr w:type="spellStart"/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>Kotlyar</w:t>
                  </w:r>
                  <w:proofErr w:type="spellEnd"/>
                  <w:r w:rsidRPr="003854F2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TAU Department of Biochemistry).</w:t>
                  </w:r>
                </w:p>
              </w:tc>
            </w:tr>
          </w:tbl>
          <w:p w:rsidR="003854F2" w:rsidRPr="003854F2" w:rsidRDefault="003854F2" w:rsidP="003854F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References</w:t>
            </w:r>
            <w:r w:rsidRPr="003854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      1.   G. Kaufmann,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  <w:t>Trends Biochem. Sci.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25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, 70 (2000).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      2.   S. Blanga-Kanfi, M. Amitsur, A. Azem, G. Kaufmann,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  <w:t>Nucleic Acids Res.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34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, 3209 (2006).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      3.   E. Davidov, G. Kaufmann,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e-DE"/>
              </w:rPr>
              <w:t>Mol.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Microbiol.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69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, 1560 (2008).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      4.   H. Masaki, T. Ogawa,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Biochimie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84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, 433 (2002).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      5.   J. Lu, B. Huang, A. Esberg, M. J. Johansson, A. S. Bystrom,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it-IT"/>
              </w:rPr>
              <w:t>RNA.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11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, 1648 (2005).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      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6.   K. P. Hopfner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a-DK"/>
              </w:rPr>
              <w:t> et al.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a-DK"/>
              </w:rPr>
              <w:t>Nature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a-DK"/>
              </w:rPr>
              <w:t>418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, 562 (2002).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     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t>7.   G. W. Blakely, N. E. Murray,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Mol. </w:t>
            </w:r>
            <w:proofErr w:type="spellStart"/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/>
              </w:rPr>
              <w:t>Microbiol</w:t>
            </w:r>
            <w:proofErr w:type="spellEnd"/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/>
              </w:rPr>
              <w:t>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60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883 (2006).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     8.   D. Wang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/>
              </w:rPr>
              <w:t xml:space="preserve"> et </w:t>
            </w:r>
            <w:proofErr w:type="gramStart"/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/>
              </w:rPr>
              <w:t>al.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</w:t>
            </w:r>
            <w:proofErr w:type="gramEnd"/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/>
              </w:rPr>
              <w:t>Science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324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1203 (2009).</w:t>
            </w:r>
          </w:p>
          <w:p w:rsidR="003854F2" w:rsidRPr="003854F2" w:rsidRDefault="003854F2" w:rsidP="003854F2">
            <w:pPr>
              <w:spacing w:after="6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     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9.   P. A. Aas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a-DK"/>
              </w:rPr>
              <w:t> et al.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da-DK"/>
              </w:rPr>
              <w:t>Nature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da-DK"/>
              </w:rPr>
              <w:t>421</w:t>
            </w: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, 859 (2003).</w:t>
            </w:r>
          </w:p>
          <w:p w:rsidR="003854F2" w:rsidRPr="003854F2" w:rsidRDefault="003854F2" w:rsidP="003854F2">
            <w:pPr>
              <w:spacing w:after="60" w:line="240" w:lineRule="auto"/>
              <w:ind w:left="195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4F2">
              <w:rPr>
                <w:rFonts w:ascii="Arial" w:eastAsia="Times New Roman" w:hAnsi="Arial" w:cs="Arial"/>
                <w:sz w:val="20"/>
                <w:szCs w:val="20"/>
                <w:lang w:val="da-DK"/>
              </w:rPr>
              <w:t>             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t>10.   C. M. Chan, C. Zhou, R. H. Huang, </w:t>
            </w:r>
            <w:r w:rsidRPr="003854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854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  <w:r w:rsidRPr="003854F2">
              <w:rPr>
                <w:rFonts w:ascii="Arial" w:eastAsia="Times New Roman" w:hAnsi="Arial" w:cs="Arial"/>
                <w:sz w:val="20"/>
                <w:szCs w:val="20"/>
              </w:rPr>
              <w:t>, 247 (2009).</w:t>
            </w:r>
          </w:p>
        </w:tc>
      </w:tr>
    </w:tbl>
    <w:p w:rsidR="003854F2" w:rsidRDefault="003854F2"/>
    <w:sectPr w:rsidR="003854F2" w:rsidSect="003854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F2"/>
    <w:rsid w:val="003854F2"/>
    <w:rsid w:val="007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2">
    <w:name w:val="auto-style2"/>
    <w:basedOn w:val="DefaultParagraphFont"/>
    <w:rsid w:val="003854F2"/>
  </w:style>
  <w:style w:type="character" w:styleId="Strong">
    <w:name w:val="Strong"/>
    <w:basedOn w:val="DefaultParagraphFont"/>
    <w:uiPriority w:val="22"/>
    <w:qFormat/>
    <w:rsid w:val="003854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4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4F2"/>
  </w:style>
  <w:style w:type="character" w:customStyle="1" w:styleId="auto-style1">
    <w:name w:val="auto-style1"/>
    <w:basedOn w:val="DefaultParagraphFont"/>
    <w:rsid w:val="003854F2"/>
  </w:style>
  <w:style w:type="paragraph" w:customStyle="1" w:styleId="style31">
    <w:name w:val="style31"/>
    <w:basedOn w:val="Normal"/>
    <w:rsid w:val="003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2">
    <w:name w:val="auto-style2"/>
    <w:basedOn w:val="DefaultParagraphFont"/>
    <w:rsid w:val="003854F2"/>
  </w:style>
  <w:style w:type="character" w:styleId="Strong">
    <w:name w:val="Strong"/>
    <w:basedOn w:val="DefaultParagraphFont"/>
    <w:uiPriority w:val="22"/>
    <w:qFormat/>
    <w:rsid w:val="003854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4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4F2"/>
  </w:style>
  <w:style w:type="character" w:customStyle="1" w:styleId="auto-style1">
    <w:name w:val="auto-style1"/>
    <w:basedOn w:val="DefaultParagraphFont"/>
    <w:rsid w:val="003854F2"/>
  </w:style>
  <w:style w:type="paragraph" w:customStyle="1" w:styleId="style31">
    <w:name w:val="style31"/>
    <w:basedOn w:val="Normal"/>
    <w:rsid w:val="003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13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513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26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?_ob=ArticleURL&amp;_udi=B6VSR-46RC3H0-F&amp;_user=48161&amp;_rdoc=1&amp;_fmt=&amp;_orig=search&amp;_sort=d&amp;_docanchor=&amp;view=c&amp;_acct=C000005078&amp;_version=1&amp;_urlVersion=0&amp;_userid=48161&amp;md5=281461a8b91f13d7aeae353ba274aa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pei-rm.info/index.htm" TargetMode="External"/><Relationship Id="rId11" Type="http://schemas.openxmlformats.org/officeDocument/2006/relationships/hyperlink" Target="http://en.wikipedia.org/wiki/Atomic_force_microscope" TargetMode="External"/><Relationship Id="rId5" Type="http://schemas.openxmlformats.org/officeDocument/2006/relationships/hyperlink" Target="http://www.biochemsoctrans.org/bst/035/1533/bst0351533.ht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2014-12-28T12:22:00Z</dcterms:created>
  <dcterms:modified xsi:type="dcterms:W3CDTF">2014-12-28T12:23:00Z</dcterms:modified>
</cp:coreProperties>
</file>